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0876" w14:textId="77777777" w:rsidR="00C0611D" w:rsidRDefault="00C0611D" w:rsidP="00C0611D">
      <w:pPr>
        <w:pStyle w:val="Titolo1"/>
        <w:rPr>
          <w:sz w:val="20"/>
          <w:u w:val="single"/>
        </w:rPr>
      </w:pPr>
      <w:r>
        <w:t>CAMPIONATO UNDER 17 FEMMINILE 2022/2023</w:t>
      </w:r>
    </w:p>
    <w:p w14:paraId="6AA98708" w14:textId="77777777" w:rsidR="00C0611D" w:rsidRPr="009E5298" w:rsidRDefault="00C0611D" w:rsidP="00C0611D">
      <w:pPr>
        <w:pStyle w:val="Titolo2"/>
        <w:rPr>
          <w:sz w:val="14"/>
          <w:szCs w:val="14"/>
        </w:rPr>
      </w:pPr>
    </w:p>
    <w:p w14:paraId="04AE3AF7" w14:textId="77777777" w:rsidR="00C0611D" w:rsidRDefault="00C0611D" w:rsidP="00C0611D">
      <w:pPr>
        <w:pStyle w:val="Titolo2"/>
        <w:rPr>
          <w:rFonts w:cs="Calibri"/>
          <w:sz w:val="20"/>
          <w:u w:val="single"/>
        </w:rPr>
      </w:pPr>
      <w:r>
        <w:t>Campionato Regionale Giovanile Femminile di Calcio A 11</w:t>
      </w:r>
    </w:p>
    <w:p w14:paraId="2B18CF47" w14:textId="77777777" w:rsidR="00C0611D" w:rsidRPr="003C6EAB" w:rsidRDefault="00C0611D" w:rsidP="00C0611D">
      <w:pPr>
        <w:pStyle w:val="LndNormale1"/>
        <w:rPr>
          <w:rFonts w:cs="Calibri"/>
          <w:b/>
          <w:sz w:val="2"/>
          <w:szCs w:val="2"/>
          <w:u w:val="single"/>
        </w:rPr>
      </w:pPr>
    </w:p>
    <w:p w14:paraId="71D49D73" w14:textId="77777777" w:rsidR="00C0611D" w:rsidRDefault="00C0611D" w:rsidP="00C0611D">
      <w:pPr>
        <w:autoSpaceDE w:val="0"/>
        <w:autoSpaceDN w:val="0"/>
        <w:adjustRightInd w:val="0"/>
        <w:jc w:val="center"/>
        <w:rPr>
          <w:rFonts w:ascii="Times New Roman" w:hAnsi="Times New Roman"/>
          <w:color w:val="0000FF"/>
          <w:szCs w:val="24"/>
        </w:rPr>
      </w:pPr>
      <w:r w:rsidRPr="00C417BC">
        <w:rPr>
          <w:rFonts w:ascii="Times New Roman" w:hAnsi="Times New Roman"/>
          <w:color w:val="0000FF"/>
          <w:szCs w:val="24"/>
        </w:rPr>
        <w:t>******</w:t>
      </w:r>
    </w:p>
    <w:p w14:paraId="04A929A3" w14:textId="77777777" w:rsidR="00C0611D" w:rsidRPr="005E1DD2" w:rsidRDefault="00C0611D" w:rsidP="00C0611D">
      <w:pPr>
        <w:autoSpaceDE w:val="0"/>
        <w:autoSpaceDN w:val="0"/>
        <w:adjustRightInd w:val="0"/>
        <w:rPr>
          <w:rFonts w:cs="Calibri"/>
          <w:szCs w:val="24"/>
        </w:rPr>
      </w:pPr>
      <w:r w:rsidRPr="00165826">
        <w:rPr>
          <w:rFonts w:cs="Calibri"/>
          <w:szCs w:val="24"/>
        </w:rPr>
        <w:t>Il C.R. Campania L.N.D.</w:t>
      </w:r>
      <w:r>
        <w:rPr>
          <w:rFonts w:cs="Calibri"/>
          <w:szCs w:val="24"/>
        </w:rPr>
        <w:t>,</w:t>
      </w:r>
      <w:r w:rsidRPr="00165826">
        <w:rPr>
          <w:rFonts w:cs="Calibri"/>
          <w:szCs w:val="24"/>
        </w:rPr>
        <w:t xml:space="preserve"> </w:t>
      </w:r>
      <w:r>
        <w:rPr>
          <w:rFonts w:cs="Calibri"/>
          <w:szCs w:val="24"/>
        </w:rPr>
        <w:t>visto</w:t>
      </w:r>
      <w:r w:rsidRPr="00165826">
        <w:rPr>
          <w:rFonts w:cs="Calibri"/>
          <w:szCs w:val="24"/>
        </w:rPr>
        <w:t xml:space="preserve"> </w:t>
      </w:r>
      <w:r>
        <w:rPr>
          <w:rFonts w:cs="Calibri"/>
          <w:szCs w:val="24"/>
        </w:rPr>
        <w:t>il</w:t>
      </w:r>
      <w:r w:rsidRPr="00165826">
        <w:rPr>
          <w:rFonts w:cs="Calibri"/>
          <w:szCs w:val="24"/>
        </w:rPr>
        <w:t xml:space="preserve"> Comunicato Ufficiale S.G.S. n. 20 del 25/07/2022</w:t>
      </w:r>
      <w:r>
        <w:rPr>
          <w:rFonts w:cs="Calibri"/>
          <w:szCs w:val="24"/>
        </w:rPr>
        <w:t>,</w:t>
      </w:r>
      <w:r w:rsidRPr="00165826">
        <w:rPr>
          <w:rFonts w:cs="Calibri"/>
          <w:szCs w:val="24"/>
        </w:rPr>
        <w:t xml:space="preserve"> prosegue </w:t>
      </w:r>
      <w:r>
        <w:rPr>
          <w:rFonts w:cs="Calibri"/>
          <w:szCs w:val="24"/>
        </w:rPr>
        <w:t>l’attività Under 17 Femminile</w:t>
      </w:r>
      <w:r w:rsidRPr="00165826">
        <w:rPr>
          <w:rFonts w:cs="Calibri"/>
          <w:szCs w:val="24"/>
        </w:rPr>
        <w:t xml:space="preserve"> </w:t>
      </w:r>
      <w:r>
        <w:rPr>
          <w:rFonts w:cs="Calibri"/>
          <w:szCs w:val="24"/>
        </w:rPr>
        <w:t xml:space="preserve">con </w:t>
      </w:r>
      <w:r w:rsidRPr="00165826">
        <w:rPr>
          <w:rFonts w:cs="Calibri"/>
          <w:b/>
          <w:bCs/>
          <w:szCs w:val="24"/>
        </w:rPr>
        <w:t>le società</w:t>
      </w:r>
      <w:r w:rsidRPr="00165826">
        <w:rPr>
          <w:rFonts w:cs="Calibri"/>
          <w:szCs w:val="24"/>
        </w:rPr>
        <w:t xml:space="preserve"> </w:t>
      </w:r>
      <w:r w:rsidRPr="00165826">
        <w:rPr>
          <w:rFonts w:cs="Calibri"/>
          <w:b/>
          <w:bCs/>
          <w:szCs w:val="24"/>
        </w:rPr>
        <w:t>che non si sono qualifiche alla Fase Interregionale disputando la seconda fase</w:t>
      </w:r>
      <w:r>
        <w:rPr>
          <w:rFonts w:cs="Calibri"/>
          <w:b/>
          <w:bCs/>
          <w:szCs w:val="24"/>
        </w:rPr>
        <w:t xml:space="preserve"> </w:t>
      </w:r>
      <w:r w:rsidRPr="00165826">
        <w:rPr>
          <w:rFonts w:cs="Calibri"/>
          <w:b/>
          <w:bCs/>
          <w:szCs w:val="24"/>
        </w:rPr>
        <w:t xml:space="preserve">del Campionato a livello Regionale fino a determinarne la </w:t>
      </w:r>
      <w:r w:rsidRPr="005E1DD2">
        <w:rPr>
          <w:rFonts w:cs="Calibri"/>
          <w:szCs w:val="24"/>
        </w:rPr>
        <w:t>vincente.</w:t>
      </w:r>
    </w:p>
    <w:p w14:paraId="68AEF235" w14:textId="77777777" w:rsidR="00C0611D" w:rsidRDefault="00C0611D" w:rsidP="00C0611D">
      <w:pPr>
        <w:autoSpaceDE w:val="0"/>
        <w:autoSpaceDN w:val="0"/>
        <w:adjustRightInd w:val="0"/>
        <w:rPr>
          <w:rFonts w:cs="Calibri"/>
          <w:szCs w:val="24"/>
        </w:rPr>
      </w:pPr>
      <w:r w:rsidRPr="005E1DD2">
        <w:rPr>
          <w:rFonts w:cs="Calibri"/>
          <w:szCs w:val="24"/>
        </w:rPr>
        <w:t xml:space="preserve">Nell’occasione </w:t>
      </w:r>
      <w:r>
        <w:rPr>
          <w:rFonts w:cs="Calibri"/>
          <w:szCs w:val="24"/>
        </w:rPr>
        <w:t xml:space="preserve">il C.R. Campania dà l’opportunità </w:t>
      </w:r>
      <w:r w:rsidRPr="005E1DD2">
        <w:rPr>
          <w:rFonts w:cs="Calibri"/>
          <w:szCs w:val="24"/>
        </w:rPr>
        <w:t xml:space="preserve">per nuove </w:t>
      </w:r>
      <w:r>
        <w:rPr>
          <w:rFonts w:cs="Calibri"/>
          <w:szCs w:val="24"/>
        </w:rPr>
        <w:t>iscrizione alle società</w:t>
      </w:r>
      <w:r w:rsidRPr="005E1DD2">
        <w:rPr>
          <w:rFonts w:cs="Calibri"/>
          <w:szCs w:val="24"/>
        </w:rPr>
        <w:t xml:space="preserve"> che voglion</w:t>
      </w:r>
      <w:r>
        <w:rPr>
          <w:rFonts w:cs="Calibri"/>
          <w:szCs w:val="24"/>
        </w:rPr>
        <w:t xml:space="preserve">o </w:t>
      </w:r>
      <w:r w:rsidRPr="005E1DD2">
        <w:rPr>
          <w:rFonts w:cs="Calibri"/>
          <w:szCs w:val="24"/>
        </w:rPr>
        <w:t xml:space="preserve"> aderire </w:t>
      </w:r>
      <w:r>
        <w:rPr>
          <w:rFonts w:cs="Calibri"/>
          <w:szCs w:val="24"/>
        </w:rPr>
        <w:t>alla seconda fase del campionato in epigrafe.</w:t>
      </w:r>
      <w:r w:rsidRPr="005E1DD2">
        <w:rPr>
          <w:rFonts w:cs="Calibri"/>
          <w:szCs w:val="24"/>
        </w:rPr>
        <w:t xml:space="preserve"> </w:t>
      </w:r>
    </w:p>
    <w:p w14:paraId="1A8ECA9A" w14:textId="77777777" w:rsidR="00C0611D" w:rsidRPr="005E1DD2" w:rsidRDefault="00C0611D" w:rsidP="00C0611D">
      <w:pPr>
        <w:autoSpaceDE w:val="0"/>
        <w:autoSpaceDN w:val="0"/>
        <w:adjustRightInd w:val="0"/>
        <w:rPr>
          <w:rFonts w:cs="Calibri"/>
          <w:sz w:val="10"/>
          <w:szCs w:val="10"/>
        </w:rPr>
      </w:pPr>
    </w:p>
    <w:p w14:paraId="6DC76F43" w14:textId="77777777" w:rsidR="00C0611D" w:rsidRPr="0089606C" w:rsidRDefault="00C0611D" w:rsidP="00C0611D">
      <w:pPr>
        <w:jc w:val="center"/>
        <w:rPr>
          <w:rFonts w:cs="Calibri"/>
          <w:b/>
          <w:bCs/>
          <w:sz w:val="32"/>
          <w:szCs w:val="32"/>
          <w:u w:val="single"/>
        </w:rPr>
      </w:pPr>
      <w:r w:rsidRPr="0089606C">
        <w:rPr>
          <w:rFonts w:cs="Calibri"/>
          <w:b/>
          <w:bCs/>
          <w:sz w:val="32"/>
          <w:szCs w:val="32"/>
        </w:rPr>
        <w:t>REGOLAMENTO</w:t>
      </w:r>
    </w:p>
    <w:p w14:paraId="17044232" w14:textId="77777777" w:rsidR="00C0611D" w:rsidRDefault="00C0611D" w:rsidP="00C0611D">
      <w:pPr>
        <w:pStyle w:val="LndNormale1"/>
        <w:rPr>
          <w:rFonts w:cs="Calibri"/>
          <w:b/>
          <w:szCs w:val="24"/>
          <w:u w:val="single"/>
        </w:rPr>
      </w:pPr>
    </w:p>
    <w:p w14:paraId="196C3E86" w14:textId="77777777" w:rsidR="00C0611D" w:rsidRDefault="00C0611D" w:rsidP="00C0611D">
      <w:pPr>
        <w:pStyle w:val="LndNormale1"/>
        <w:rPr>
          <w:rFonts w:ascii="Arial Narrow" w:hAnsi="Arial Narrow" w:cs="Arial Narrow"/>
          <w:b/>
          <w:bCs/>
          <w:sz w:val="22"/>
          <w:szCs w:val="22"/>
        </w:rPr>
      </w:pPr>
      <w:r>
        <w:rPr>
          <w:rFonts w:ascii="Arial Narrow" w:hAnsi="Arial Narrow" w:cs="Arial Narrow"/>
          <w:b/>
          <w:bCs/>
          <w:sz w:val="22"/>
          <w:szCs w:val="22"/>
        </w:rPr>
        <w:t>PARTECIPAZIONE DELLE CALCIATRICI</w:t>
      </w:r>
    </w:p>
    <w:p w14:paraId="68A763A8" w14:textId="77777777" w:rsidR="00C0611D" w:rsidRPr="00CF0863" w:rsidRDefault="00C0611D" w:rsidP="00C0611D">
      <w:pPr>
        <w:pStyle w:val="LndNormale1"/>
        <w:rPr>
          <w:rFonts w:cs="Calibri"/>
          <w:b/>
          <w:sz w:val="10"/>
          <w:szCs w:val="10"/>
          <w:u w:val="single"/>
        </w:rPr>
      </w:pPr>
    </w:p>
    <w:p w14:paraId="78A72115" w14:textId="77777777" w:rsidR="00C0611D" w:rsidRDefault="00C0611D" w:rsidP="00C0611D">
      <w:pPr>
        <w:autoSpaceDE w:val="0"/>
        <w:autoSpaceDN w:val="0"/>
        <w:adjustRightInd w:val="0"/>
        <w:jc w:val="left"/>
        <w:rPr>
          <w:rFonts w:ascii="Arial Narrow" w:hAnsi="Arial Narrow" w:cs="Arial Narrow"/>
          <w:b/>
          <w:bCs/>
          <w:sz w:val="22"/>
          <w:szCs w:val="22"/>
        </w:rPr>
      </w:pPr>
      <w:r>
        <w:rPr>
          <w:rFonts w:ascii="Arial Narrow" w:hAnsi="Arial Narrow" w:cs="Arial Narrow"/>
          <w:b/>
          <w:bCs/>
          <w:sz w:val="22"/>
          <w:szCs w:val="22"/>
        </w:rPr>
        <w:t xml:space="preserve">1. </w:t>
      </w:r>
      <w:r>
        <w:rPr>
          <w:rFonts w:ascii="Arial Narrow" w:hAnsi="Arial Narrow" w:cs="Arial Narrow"/>
          <w:sz w:val="22"/>
          <w:szCs w:val="22"/>
        </w:rPr>
        <w:t xml:space="preserve">Il Campionato è riservato alle giovani calciatrici della </w:t>
      </w:r>
      <w:r>
        <w:rPr>
          <w:rFonts w:ascii="Arial Narrow" w:hAnsi="Arial Narrow" w:cs="Arial Narrow"/>
          <w:b/>
          <w:bCs/>
          <w:sz w:val="22"/>
          <w:szCs w:val="22"/>
        </w:rPr>
        <w:t>Categoria UNDER 17 nate dal 01.01.2006 al 31.12.2007.</w:t>
      </w:r>
    </w:p>
    <w:p w14:paraId="3EAD28E7"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Al Campionato possono altresì partecipare giovani calciatrici che abbiano compiuto il 14° anno di età.</w:t>
      </w:r>
    </w:p>
    <w:p w14:paraId="1406EC94" w14:textId="77777777" w:rsidR="00C0611D" w:rsidRDefault="00C0611D" w:rsidP="00C0611D">
      <w:pPr>
        <w:pStyle w:val="LndNormale1"/>
        <w:rPr>
          <w:rFonts w:cs="Calibri"/>
          <w:b/>
          <w:szCs w:val="24"/>
          <w:u w:val="single"/>
        </w:rPr>
      </w:pPr>
    </w:p>
    <w:p w14:paraId="68AEA841" w14:textId="77777777" w:rsidR="00C0611D" w:rsidRDefault="00C0611D" w:rsidP="00C0611D">
      <w:pPr>
        <w:pStyle w:val="LndNormale1"/>
        <w:rPr>
          <w:rFonts w:cs="Calibri"/>
          <w:b/>
          <w:szCs w:val="24"/>
          <w:u w:val="single"/>
        </w:rPr>
      </w:pPr>
      <w:r>
        <w:rPr>
          <w:rFonts w:ascii="Arial Narrow" w:hAnsi="Arial Narrow" w:cs="Arial Narrow"/>
          <w:b/>
          <w:bCs/>
          <w:sz w:val="22"/>
          <w:szCs w:val="22"/>
        </w:rPr>
        <w:t>2. Fuori Quota</w:t>
      </w:r>
    </w:p>
    <w:p w14:paraId="0F79B230"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Non sono consentiti</w:t>
      </w:r>
    </w:p>
    <w:p w14:paraId="4AB5967B" w14:textId="77777777" w:rsidR="00C0611D" w:rsidRPr="00A3046A" w:rsidRDefault="00C0611D" w:rsidP="00C0611D">
      <w:pPr>
        <w:pStyle w:val="LndNormale1"/>
        <w:rPr>
          <w:rFonts w:cs="Calibri"/>
          <w:b/>
          <w:sz w:val="10"/>
          <w:szCs w:val="10"/>
          <w:u w:val="single"/>
        </w:rPr>
      </w:pPr>
    </w:p>
    <w:p w14:paraId="335ACB9E" w14:textId="77777777" w:rsidR="00C0611D" w:rsidRDefault="00C0611D" w:rsidP="00C0611D">
      <w:pPr>
        <w:pStyle w:val="LndNormale1"/>
        <w:rPr>
          <w:rFonts w:ascii="Arial Narrow" w:hAnsi="Arial Narrow" w:cs="Arial Narrow"/>
          <w:b/>
          <w:bCs/>
          <w:sz w:val="22"/>
          <w:szCs w:val="22"/>
        </w:rPr>
      </w:pPr>
      <w:r>
        <w:rPr>
          <w:rFonts w:ascii="Arial Narrow" w:hAnsi="Arial Narrow" w:cs="Arial Narrow"/>
          <w:b/>
          <w:bCs/>
          <w:sz w:val="22"/>
          <w:szCs w:val="22"/>
        </w:rPr>
        <w:t>3. Prestiti</w:t>
      </w:r>
    </w:p>
    <w:p w14:paraId="3D424B8F"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Non sono consentiti</w:t>
      </w:r>
    </w:p>
    <w:p w14:paraId="33597AA7" w14:textId="77777777" w:rsidR="00C0611D" w:rsidRPr="003C6EAB" w:rsidRDefault="00C0611D" w:rsidP="00C0611D">
      <w:pPr>
        <w:pStyle w:val="LndNormale1"/>
        <w:rPr>
          <w:rFonts w:cs="Calibri"/>
          <w:b/>
          <w:sz w:val="16"/>
          <w:szCs w:val="16"/>
          <w:u w:val="single"/>
        </w:rPr>
      </w:pPr>
    </w:p>
    <w:p w14:paraId="0AC31A02" w14:textId="77777777" w:rsidR="00C0611D" w:rsidRDefault="00C0611D" w:rsidP="00C0611D">
      <w:pPr>
        <w:pStyle w:val="LndNormale1"/>
        <w:rPr>
          <w:rFonts w:ascii="Arial Narrow" w:hAnsi="Arial Narrow" w:cs="Arial Narrow"/>
          <w:b/>
          <w:bCs/>
          <w:sz w:val="22"/>
          <w:szCs w:val="22"/>
        </w:rPr>
      </w:pPr>
      <w:r>
        <w:rPr>
          <w:rFonts w:ascii="Arial Narrow" w:hAnsi="Arial Narrow" w:cs="Arial Narrow"/>
          <w:b/>
          <w:bCs/>
          <w:sz w:val="22"/>
          <w:szCs w:val="22"/>
        </w:rPr>
        <w:t>ORARIO VARIAZIONI E RECUPERO DELLE GARE</w:t>
      </w:r>
    </w:p>
    <w:p w14:paraId="79C9812F" w14:textId="77777777" w:rsidR="00C0611D" w:rsidRPr="00FD7C47" w:rsidRDefault="00C0611D" w:rsidP="00C0611D">
      <w:pPr>
        <w:autoSpaceDE w:val="0"/>
        <w:autoSpaceDN w:val="0"/>
        <w:adjustRightInd w:val="0"/>
        <w:jc w:val="left"/>
        <w:rPr>
          <w:rFonts w:ascii="Arial Narrow" w:hAnsi="Arial Narrow" w:cs="Arial Narrow"/>
          <w:sz w:val="10"/>
          <w:szCs w:val="10"/>
        </w:rPr>
      </w:pPr>
    </w:p>
    <w:p w14:paraId="426DECB3" w14:textId="77777777" w:rsidR="00C0611D" w:rsidRPr="00FD7C47" w:rsidRDefault="00C0611D" w:rsidP="00C0611D">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Le gare non iniziate, non portate a termine o annullate sono recuperate con le modalità fissate, con decisione del Settore Giovanile e Scolastico e, laddove necessario, dei Comitati/Coordinamenti Regionali, sentito il parere delle Società coinvolte. Resta inteso che le gare dovranno essere recuperate entro 15 giorni dalla data nella quale la gara era stata inizialmente calendarizzata. Eventuali variazioni al programma gare ufficiale dovranno essere comunicate </w:t>
      </w:r>
      <w:r>
        <w:rPr>
          <w:rFonts w:ascii="Arial Narrow" w:hAnsi="Arial Narrow" w:cs="Arial Narrow"/>
          <w:b/>
          <w:bCs/>
          <w:sz w:val="22"/>
          <w:szCs w:val="22"/>
        </w:rPr>
        <w:t>entro il martedì antecedenti le gare.</w:t>
      </w:r>
    </w:p>
    <w:p w14:paraId="0E1E55FD" w14:textId="77777777" w:rsidR="00C0611D" w:rsidRPr="003C6EAB" w:rsidRDefault="00C0611D" w:rsidP="00C0611D">
      <w:pPr>
        <w:pStyle w:val="LndNormale1"/>
        <w:rPr>
          <w:rFonts w:cs="Calibri"/>
          <w:b/>
          <w:sz w:val="18"/>
          <w:szCs w:val="18"/>
          <w:u w:val="single"/>
        </w:rPr>
      </w:pPr>
    </w:p>
    <w:p w14:paraId="3CD57EE9" w14:textId="77777777" w:rsidR="00C0611D" w:rsidRDefault="00C0611D" w:rsidP="00C0611D">
      <w:pPr>
        <w:pStyle w:val="LndNormale1"/>
        <w:rPr>
          <w:rFonts w:cs="Calibri"/>
          <w:b/>
          <w:szCs w:val="24"/>
          <w:u w:val="single"/>
        </w:rPr>
      </w:pPr>
      <w:r>
        <w:rPr>
          <w:rFonts w:ascii="Arial Narrow" w:hAnsi="Arial Narrow" w:cs="Arial Narrow"/>
          <w:b/>
          <w:bCs/>
          <w:sz w:val="22"/>
          <w:szCs w:val="22"/>
        </w:rPr>
        <w:t>DETERMINAZIONE DELLE SQUADRE VINCITRICI</w:t>
      </w:r>
    </w:p>
    <w:p w14:paraId="65728CBB" w14:textId="77777777" w:rsidR="00C0611D" w:rsidRPr="00E22098" w:rsidRDefault="00C0611D" w:rsidP="00C0611D">
      <w:pPr>
        <w:autoSpaceDE w:val="0"/>
        <w:autoSpaceDN w:val="0"/>
        <w:adjustRightInd w:val="0"/>
        <w:jc w:val="left"/>
        <w:rPr>
          <w:rFonts w:ascii="Arial Narrow" w:hAnsi="Arial Narrow" w:cs="Arial Narrow"/>
          <w:b/>
          <w:bCs/>
          <w:sz w:val="10"/>
          <w:szCs w:val="10"/>
        </w:rPr>
      </w:pPr>
    </w:p>
    <w:p w14:paraId="768DC4D6" w14:textId="77777777" w:rsidR="00C0611D" w:rsidRDefault="00C0611D" w:rsidP="00C0611D">
      <w:pPr>
        <w:autoSpaceDE w:val="0"/>
        <w:autoSpaceDN w:val="0"/>
        <w:adjustRightInd w:val="0"/>
        <w:jc w:val="left"/>
        <w:rPr>
          <w:rFonts w:ascii="Arial Narrow" w:hAnsi="Arial Narrow" w:cs="Arial Narrow"/>
          <w:b/>
          <w:bCs/>
          <w:sz w:val="22"/>
          <w:szCs w:val="22"/>
        </w:rPr>
      </w:pPr>
      <w:r>
        <w:rPr>
          <w:rFonts w:ascii="Arial Narrow" w:hAnsi="Arial Narrow" w:cs="Arial Narrow"/>
          <w:b/>
          <w:bCs/>
          <w:sz w:val="22"/>
          <w:szCs w:val="22"/>
        </w:rPr>
        <w:t>Punteggi e classifiche della fase regionale</w:t>
      </w:r>
    </w:p>
    <w:p w14:paraId="37C53CF4"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In base al risultato finale della gara, saranno attribuiti:</w:t>
      </w:r>
    </w:p>
    <w:p w14:paraId="24C0362F"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3 punti in caso di vittoria; 1 punto in caso di pareggio; 0 punti in caso di sconfitta.</w:t>
      </w:r>
    </w:p>
    <w:p w14:paraId="7CEB5EDF" w14:textId="77777777" w:rsidR="00C0611D" w:rsidRDefault="00C0611D" w:rsidP="00C0611D">
      <w:pPr>
        <w:pStyle w:val="LndNormale1"/>
        <w:rPr>
          <w:rFonts w:cs="Calibri"/>
          <w:b/>
          <w:szCs w:val="24"/>
          <w:u w:val="single"/>
        </w:rPr>
      </w:pPr>
      <w:r>
        <w:rPr>
          <w:rFonts w:ascii="Arial Narrow" w:hAnsi="Arial Narrow" w:cs="Arial Narrow"/>
          <w:sz w:val="22"/>
          <w:szCs w:val="22"/>
        </w:rPr>
        <w:t>Nella stesura delle classifiche finali nel caso di arrivo in parità di punteggio si terrà conto dei seguenti criteri</w:t>
      </w:r>
    </w:p>
    <w:p w14:paraId="56AE2344" w14:textId="77777777" w:rsidR="00C0611D" w:rsidRPr="003C6EAB" w:rsidRDefault="00C0611D" w:rsidP="00C0611D">
      <w:pPr>
        <w:pStyle w:val="LndNormale1"/>
        <w:rPr>
          <w:rFonts w:cs="Calibri"/>
          <w:b/>
          <w:sz w:val="8"/>
          <w:szCs w:val="8"/>
          <w:u w:val="single"/>
        </w:rPr>
      </w:pPr>
    </w:p>
    <w:p w14:paraId="718BC895"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 xml:space="preserve">in caso di parità tra </w:t>
      </w:r>
      <w:r>
        <w:rPr>
          <w:rFonts w:ascii="Arial Narrow" w:hAnsi="Arial Narrow" w:cs="Arial Narrow"/>
          <w:b/>
          <w:bCs/>
          <w:sz w:val="22"/>
          <w:szCs w:val="22"/>
        </w:rPr>
        <w:t xml:space="preserve">due squadre </w:t>
      </w:r>
      <w:r>
        <w:rPr>
          <w:rFonts w:ascii="Arial Narrow" w:hAnsi="Arial Narrow" w:cs="Arial Narrow"/>
          <w:sz w:val="22"/>
          <w:szCs w:val="22"/>
        </w:rPr>
        <w:t>si terrà conto nell’ordine di:</w:t>
      </w:r>
    </w:p>
    <w:p w14:paraId="1A9AF704" w14:textId="77777777" w:rsidR="00C0611D" w:rsidRPr="003C6EAB" w:rsidRDefault="00C0611D" w:rsidP="00C0611D">
      <w:pPr>
        <w:pStyle w:val="LndNormale1"/>
        <w:rPr>
          <w:rFonts w:ascii="Arial Narrow" w:hAnsi="Arial Narrow" w:cs="Arial Narrow"/>
          <w:sz w:val="16"/>
          <w:szCs w:val="16"/>
        </w:rPr>
      </w:pPr>
    </w:p>
    <w:p w14:paraId="460303BC"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1. dei punti conseguiti negli incontri diretti.</w:t>
      </w:r>
    </w:p>
    <w:p w14:paraId="7CB30E5F"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2. In caso di parità, della differenza reti negli incontri diretti.</w:t>
      </w:r>
    </w:p>
    <w:p w14:paraId="7C3B52DC"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3. In caso di ulteriore parità, si tiene conto della differenza reti ottenuta nel girone</w:t>
      </w:r>
    </w:p>
    <w:p w14:paraId="0AE6C7F9"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4. in seguito del maggior numero di reti segnate nel girone.</w:t>
      </w:r>
    </w:p>
    <w:p w14:paraId="52924D49"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5. Nel caso la parità persista, si tiene conto della classifica disciplina calcolata in base ai provvedimenti adottati</w:t>
      </w:r>
    </w:p>
    <w:p w14:paraId="51ABBB57"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6. Nel caso la parità persista si ricorre al Sorteggio.</w:t>
      </w:r>
    </w:p>
    <w:p w14:paraId="443EDFEF" w14:textId="77777777" w:rsidR="00C0611D" w:rsidRDefault="00C0611D" w:rsidP="00C0611D">
      <w:pPr>
        <w:pStyle w:val="LndNormale1"/>
        <w:rPr>
          <w:rFonts w:ascii="Arial Narrow" w:hAnsi="Arial Narrow" w:cs="Arial Narrow"/>
          <w:sz w:val="22"/>
          <w:szCs w:val="22"/>
        </w:rPr>
      </w:pPr>
    </w:p>
    <w:p w14:paraId="3B2199CF"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 xml:space="preserve">in caso di parità tra </w:t>
      </w:r>
      <w:r>
        <w:rPr>
          <w:rFonts w:ascii="Arial Narrow" w:hAnsi="Arial Narrow" w:cs="Arial Narrow"/>
          <w:b/>
          <w:bCs/>
          <w:sz w:val="22"/>
          <w:szCs w:val="22"/>
        </w:rPr>
        <w:t xml:space="preserve">tre o più squadre </w:t>
      </w:r>
      <w:r>
        <w:rPr>
          <w:rFonts w:ascii="Arial Narrow" w:hAnsi="Arial Narrow" w:cs="Arial Narrow"/>
          <w:sz w:val="22"/>
          <w:szCs w:val="22"/>
        </w:rPr>
        <w:t>si terrà conto nell’ordine di:</w:t>
      </w:r>
    </w:p>
    <w:p w14:paraId="131666B4" w14:textId="77777777" w:rsidR="00C0611D" w:rsidRPr="00E22098" w:rsidRDefault="00C0611D" w:rsidP="00C0611D">
      <w:pPr>
        <w:pStyle w:val="LndNormale1"/>
        <w:rPr>
          <w:rFonts w:ascii="Arial Narrow" w:hAnsi="Arial Narrow" w:cs="Arial Narrow"/>
          <w:sz w:val="10"/>
          <w:szCs w:val="10"/>
        </w:rPr>
      </w:pPr>
    </w:p>
    <w:p w14:paraId="5D6ECC53"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1. classifica avulsa tra le squadre interessate, calcolando i punti conseguiti negli incontri diretti.</w:t>
      </w:r>
    </w:p>
    <w:p w14:paraId="7EA16A2F"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2. A parità di punti si tiene conto della differenza reti negli stessi incontri.</w:t>
      </w:r>
    </w:p>
    <w:p w14:paraId="11738BB5"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3. Nel caso in cui due o più squadre interessate permangano ancora in parità, si tiene conto, nell’ordine :</w:t>
      </w:r>
    </w:p>
    <w:p w14:paraId="18C35155" w14:textId="77777777" w:rsidR="00C0611D" w:rsidRDefault="00C0611D" w:rsidP="00C0611D">
      <w:pPr>
        <w:pStyle w:val="LndNormale1"/>
        <w:numPr>
          <w:ilvl w:val="0"/>
          <w:numId w:val="1"/>
        </w:numPr>
        <w:rPr>
          <w:rFonts w:ascii="Arial Narrow" w:hAnsi="Arial Narrow" w:cs="Arial Narrow"/>
          <w:sz w:val="22"/>
          <w:szCs w:val="22"/>
        </w:rPr>
      </w:pPr>
      <w:r>
        <w:rPr>
          <w:rFonts w:ascii="Arial Narrow" w:hAnsi="Arial Narrow" w:cs="Arial Narrow"/>
          <w:sz w:val="22"/>
          <w:szCs w:val="22"/>
        </w:rPr>
        <w:t>della differenza reti negli incontri diretti tra le squadre interessate,</w:t>
      </w:r>
    </w:p>
    <w:p w14:paraId="1813F4A9"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 xml:space="preserve">       b)    della differenza reti ottenuta nel girone,</w:t>
      </w:r>
    </w:p>
    <w:p w14:paraId="509DB582"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 xml:space="preserve">       c)    del maggior numero di reti segnate nel girone.</w:t>
      </w:r>
    </w:p>
    <w:p w14:paraId="4D492C52" w14:textId="77777777" w:rsidR="00C0611D" w:rsidRDefault="00C0611D" w:rsidP="00C0611D">
      <w:pPr>
        <w:pStyle w:val="LndNormale1"/>
        <w:rPr>
          <w:rFonts w:ascii="Arial Narrow" w:hAnsi="Arial Narrow" w:cs="Arial Narrow"/>
          <w:sz w:val="22"/>
          <w:szCs w:val="22"/>
        </w:rPr>
      </w:pPr>
    </w:p>
    <w:p w14:paraId="0B361571"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4. Nel caso la parità persista, si tiene conto della classifica disciplina calcolata in base ai provvedimenti adottati</w:t>
      </w:r>
    </w:p>
    <w:p w14:paraId="34E146C0" w14:textId="77777777" w:rsidR="00C0611D" w:rsidRDefault="00C0611D" w:rsidP="00C0611D">
      <w:pPr>
        <w:pStyle w:val="LndNormale1"/>
        <w:rPr>
          <w:rFonts w:cs="Calibri"/>
          <w:b/>
          <w:szCs w:val="24"/>
          <w:u w:val="single"/>
        </w:rPr>
      </w:pPr>
      <w:r>
        <w:rPr>
          <w:rFonts w:ascii="Arial Narrow" w:hAnsi="Arial Narrow" w:cs="Arial Narrow"/>
          <w:sz w:val="22"/>
          <w:szCs w:val="22"/>
        </w:rPr>
        <w:t>5. Nel caso la parità persista si ricorre al Sorteggio.</w:t>
      </w:r>
    </w:p>
    <w:p w14:paraId="4163FE27" w14:textId="77777777" w:rsidR="00C0611D" w:rsidRDefault="00C0611D" w:rsidP="00C0611D">
      <w:pPr>
        <w:pStyle w:val="LndNormale1"/>
        <w:rPr>
          <w:rFonts w:cs="Calibri"/>
          <w:b/>
          <w:szCs w:val="24"/>
          <w:u w:val="single"/>
        </w:rPr>
      </w:pPr>
    </w:p>
    <w:p w14:paraId="61CB4EB2" w14:textId="77777777" w:rsidR="003C6EAB" w:rsidRDefault="003C6EAB" w:rsidP="00C0611D">
      <w:pPr>
        <w:pStyle w:val="LndNormale1"/>
        <w:rPr>
          <w:rFonts w:ascii="Arial Narrow" w:hAnsi="Arial Narrow" w:cs="Arial Narrow"/>
          <w:b/>
          <w:bCs/>
          <w:sz w:val="22"/>
          <w:szCs w:val="22"/>
        </w:rPr>
      </w:pPr>
    </w:p>
    <w:p w14:paraId="341A062B" w14:textId="4612FEF1" w:rsidR="00C0611D" w:rsidRDefault="00C0611D" w:rsidP="00C0611D">
      <w:pPr>
        <w:pStyle w:val="LndNormale1"/>
        <w:rPr>
          <w:rFonts w:cs="Calibri"/>
          <w:b/>
          <w:szCs w:val="24"/>
          <w:u w:val="single"/>
        </w:rPr>
      </w:pPr>
      <w:r>
        <w:rPr>
          <w:rFonts w:ascii="Arial Narrow" w:hAnsi="Arial Narrow" w:cs="Arial Narrow"/>
          <w:b/>
          <w:bCs/>
          <w:sz w:val="22"/>
          <w:szCs w:val="22"/>
        </w:rPr>
        <w:lastRenderedPageBreak/>
        <w:t>DISPOSIZIONI TECNICHE</w:t>
      </w:r>
    </w:p>
    <w:p w14:paraId="656B7DF4" w14:textId="77777777" w:rsidR="00C0611D" w:rsidRPr="00E22098" w:rsidRDefault="00C0611D" w:rsidP="00C0611D">
      <w:pPr>
        <w:pStyle w:val="LndNormale1"/>
        <w:rPr>
          <w:rFonts w:cs="Calibri"/>
          <w:b/>
          <w:sz w:val="10"/>
          <w:szCs w:val="10"/>
          <w:u w:val="single"/>
        </w:rPr>
      </w:pPr>
    </w:p>
    <w:p w14:paraId="67CBEDC7" w14:textId="77777777" w:rsidR="00C0611D" w:rsidRDefault="00C0611D" w:rsidP="00C0611D">
      <w:pPr>
        <w:pStyle w:val="LndNormale1"/>
        <w:rPr>
          <w:rFonts w:ascii="Arial Narrow" w:hAnsi="Arial Narrow" w:cs="Arial Narrow"/>
          <w:b/>
          <w:bCs/>
          <w:sz w:val="22"/>
          <w:szCs w:val="22"/>
        </w:rPr>
      </w:pPr>
      <w:r>
        <w:rPr>
          <w:rFonts w:ascii="Arial Narrow" w:hAnsi="Arial Narrow" w:cs="Arial Narrow"/>
          <w:b/>
          <w:bCs/>
          <w:sz w:val="22"/>
          <w:szCs w:val="22"/>
        </w:rPr>
        <w:t>1. Campo di gioco</w:t>
      </w:r>
    </w:p>
    <w:p w14:paraId="156DD9F7" w14:textId="77777777" w:rsidR="00C0611D" w:rsidRDefault="00C0611D" w:rsidP="00C0611D">
      <w:pPr>
        <w:pStyle w:val="LndNormale1"/>
        <w:rPr>
          <w:rFonts w:cs="Calibri"/>
          <w:b/>
          <w:szCs w:val="24"/>
          <w:u w:val="single"/>
        </w:rPr>
      </w:pPr>
      <w:r>
        <w:rPr>
          <w:rFonts w:ascii="Arial Narrow" w:hAnsi="Arial Narrow" w:cs="Arial Narrow"/>
          <w:sz w:val="22"/>
          <w:szCs w:val="22"/>
        </w:rPr>
        <w:t>Le gare si disputeranno su campi omologati regolamentari, con porte di dimensioni regolamentari</w:t>
      </w:r>
    </w:p>
    <w:p w14:paraId="324F9712" w14:textId="77777777" w:rsidR="00C0611D" w:rsidRPr="00E22098" w:rsidRDefault="00C0611D" w:rsidP="00C0611D">
      <w:pPr>
        <w:pStyle w:val="LndNormale1"/>
        <w:rPr>
          <w:rFonts w:cs="Calibri"/>
          <w:b/>
          <w:sz w:val="10"/>
          <w:szCs w:val="10"/>
          <w:u w:val="single"/>
        </w:rPr>
      </w:pPr>
    </w:p>
    <w:p w14:paraId="32636C2D" w14:textId="77777777" w:rsidR="00C0611D" w:rsidRDefault="00C0611D" w:rsidP="00C0611D">
      <w:pPr>
        <w:pStyle w:val="LndNormale1"/>
        <w:rPr>
          <w:rFonts w:cs="Calibri"/>
          <w:b/>
          <w:szCs w:val="24"/>
          <w:u w:val="single"/>
        </w:rPr>
      </w:pPr>
      <w:r>
        <w:rPr>
          <w:rFonts w:ascii="Arial Narrow" w:hAnsi="Arial Narrow" w:cs="Arial Narrow"/>
          <w:b/>
          <w:bCs/>
          <w:sz w:val="22"/>
          <w:szCs w:val="22"/>
        </w:rPr>
        <w:t>2. Pallone</w:t>
      </w:r>
    </w:p>
    <w:p w14:paraId="2B39BDA3" w14:textId="77777777" w:rsidR="00C0611D" w:rsidRDefault="00C0611D" w:rsidP="00C0611D">
      <w:pPr>
        <w:pStyle w:val="LndNormale1"/>
        <w:rPr>
          <w:rFonts w:cs="Calibri"/>
          <w:b/>
          <w:szCs w:val="24"/>
          <w:u w:val="single"/>
        </w:rPr>
      </w:pPr>
      <w:r>
        <w:rPr>
          <w:rFonts w:ascii="Arial Narrow" w:hAnsi="Arial Narrow" w:cs="Arial Narrow"/>
          <w:sz w:val="22"/>
          <w:szCs w:val="22"/>
        </w:rPr>
        <w:t>Il pallone utilizzato per le gare è convenzionalmente identificato con il numero “5”.</w:t>
      </w:r>
    </w:p>
    <w:p w14:paraId="612CCE09" w14:textId="77777777" w:rsidR="00C0611D" w:rsidRPr="00E22098" w:rsidRDefault="00C0611D" w:rsidP="00C0611D">
      <w:pPr>
        <w:pStyle w:val="LndNormale1"/>
        <w:rPr>
          <w:rFonts w:cs="Calibri"/>
          <w:b/>
          <w:sz w:val="10"/>
          <w:szCs w:val="10"/>
          <w:u w:val="single"/>
        </w:rPr>
      </w:pPr>
    </w:p>
    <w:p w14:paraId="0EE9157A" w14:textId="77777777" w:rsidR="00C0611D" w:rsidRDefault="00C0611D" w:rsidP="00C0611D">
      <w:pPr>
        <w:pStyle w:val="LndNormale1"/>
        <w:rPr>
          <w:rFonts w:cs="Calibri"/>
          <w:b/>
          <w:szCs w:val="24"/>
          <w:u w:val="single"/>
        </w:rPr>
      </w:pPr>
      <w:r>
        <w:rPr>
          <w:rFonts w:ascii="Arial Narrow" w:hAnsi="Arial Narrow" w:cs="Arial Narrow"/>
          <w:b/>
          <w:bCs/>
          <w:sz w:val="22"/>
          <w:szCs w:val="22"/>
        </w:rPr>
        <w:t>3. Modalità di svolgimento e durata delle gare</w:t>
      </w:r>
    </w:p>
    <w:p w14:paraId="1EE99382" w14:textId="77777777" w:rsidR="00C0611D"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sz w:val="22"/>
          <w:szCs w:val="22"/>
        </w:rPr>
        <w:t xml:space="preserve">Le gare si svolgeranno con la Modalità di Gioco </w:t>
      </w:r>
      <w:r>
        <w:rPr>
          <w:rFonts w:ascii="Arial Narrow" w:hAnsi="Arial Narrow" w:cs="Arial Narrow"/>
          <w:b/>
          <w:bCs/>
          <w:sz w:val="22"/>
          <w:szCs w:val="22"/>
        </w:rPr>
        <w:t xml:space="preserve">11 vs 11, </w:t>
      </w:r>
      <w:r>
        <w:rPr>
          <w:rFonts w:ascii="Arial Narrow" w:hAnsi="Arial Narrow" w:cs="Arial Narrow"/>
          <w:sz w:val="22"/>
          <w:szCs w:val="22"/>
        </w:rPr>
        <w:t>della durata complessiva di 90’ suddivisi in 2 tempi da 45’ ciascuno.</w:t>
      </w:r>
    </w:p>
    <w:p w14:paraId="01CC9FD2" w14:textId="77777777" w:rsidR="00C0611D" w:rsidRPr="00E22098" w:rsidRDefault="00C0611D" w:rsidP="00C0611D">
      <w:pPr>
        <w:autoSpaceDE w:val="0"/>
        <w:autoSpaceDN w:val="0"/>
        <w:adjustRightInd w:val="0"/>
        <w:jc w:val="left"/>
        <w:rPr>
          <w:rFonts w:ascii="Arial Narrow" w:hAnsi="Arial Narrow" w:cs="Arial Narrow"/>
          <w:sz w:val="10"/>
          <w:szCs w:val="10"/>
        </w:rPr>
      </w:pPr>
    </w:p>
    <w:p w14:paraId="221BFA9B" w14:textId="77777777" w:rsidR="00C0611D" w:rsidRDefault="00C0611D" w:rsidP="00C0611D">
      <w:pPr>
        <w:pStyle w:val="LndNormale1"/>
        <w:rPr>
          <w:rFonts w:cs="Calibri"/>
          <w:b/>
          <w:szCs w:val="24"/>
          <w:u w:val="single"/>
        </w:rPr>
      </w:pPr>
      <w:r>
        <w:rPr>
          <w:rFonts w:ascii="Arial Narrow" w:hAnsi="Arial Narrow" w:cs="Arial Narrow"/>
          <w:b/>
          <w:bCs/>
          <w:sz w:val="22"/>
          <w:szCs w:val="22"/>
        </w:rPr>
        <w:t>4. Divise di gioco</w:t>
      </w:r>
    </w:p>
    <w:p w14:paraId="2669D272" w14:textId="77777777" w:rsidR="00C0611D" w:rsidRDefault="00C0611D" w:rsidP="00C0611D">
      <w:pPr>
        <w:pStyle w:val="LndNormale1"/>
        <w:rPr>
          <w:rFonts w:ascii="Arial Narrow" w:hAnsi="Arial Narrow" w:cs="Arial Narrow"/>
          <w:sz w:val="22"/>
          <w:szCs w:val="22"/>
        </w:rPr>
      </w:pPr>
      <w:r>
        <w:rPr>
          <w:rFonts w:ascii="Arial Narrow" w:hAnsi="Arial Narrow" w:cs="Arial Narrow"/>
          <w:sz w:val="22"/>
          <w:szCs w:val="22"/>
        </w:rPr>
        <w:t>In caso di somiglianza dei colori delle maglie sarà, la Società prima nominata a provvedere alla sostituzione delle stesse.</w:t>
      </w:r>
    </w:p>
    <w:p w14:paraId="44BB2A7E" w14:textId="77777777" w:rsidR="00C0611D" w:rsidRDefault="00C0611D" w:rsidP="00C0611D">
      <w:pPr>
        <w:pStyle w:val="LndNormale1"/>
        <w:rPr>
          <w:rFonts w:ascii="Arial Narrow" w:hAnsi="Arial Narrow" w:cs="Arial Narrow"/>
          <w:sz w:val="22"/>
          <w:szCs w:val="22"/>
        </w:rPr>
      </w:pPr>
    </w:p>
    <w:p w14:paraId="5B59FDC3" w14:textId="77777777" w:rsidR="00C0611D" w:rsidRDefault="00C0611D" w:rsidP="00C0611D">
      <w:pPr>
        <w:pStyle w:val="LndNormale1"/>
        <w:rPr>
          <w:rFonts w:cs="Calibri"/>
          <w:b/>
          <w:szCs w:val="24"/>
          <w:u w:val="single"/>
        </w:rPr>
      </w:pPr>
      <w:r>
        <w:rPr>
          <w:rFonts w:ascii="Arial Narrow" w:hAnsi="Arial Narrow" w:cs="Arial Narrow"/>
          <w:b/>
          <w:bCs/>
          <w:sz w:val="22"/>
          <w:szCs w:val="22"/>
        </w:rPr>
        <w:t>5. Lista Gara e Sostituzione delle calciatrici</w:t>
      </w:r>
    </w:p>
    <w:p w14:paraId="26690173" w14:textId="77777777" w:rsidR="00C0611D" w:rsidRDefault="00C0611D" w:rsidP="00C0611D">
      <w:pPr>
        <w:autoSpaceDE w:val="0"/>
        <w:autoSpaceDN w:val="0"/>
        <w:adjustRightInd w:val="0"/>
        <w:rPr>
          <w:rFonts w:ascii="Arial Narrow" w:hAnsi="Arial Narrow" w:cs="Arial Narrow"/>
          <w:sz w:val="22"/>
          <w:szCs w:val="22"/>
        </w:rPr>
      </w:pPr>
      <w:r>
        <w:rPr>
          <w:rFonts w:ascii="Arial Narrow" w:hAnsi="Arial Narrow" w:cs="Arial Narrow"/>
          <w:sz w:val="22"/>
          <w:szCs w:val="22"/>
        </w:rPr>
        <w:t>In distinta potranno essere indicate un massimo di n° 20 calciatrici.</w:t>
      </w:r>
    </w:p>
    <w:p w14:paraId="256969ED" w14:textId="77777777" w:rsidR="00C0611D" w:rsidRDefault="00C0611D" w:rsidP="00C0611D">
      <w:pPr>
        <w:autoSpaceDE w:val="0"/>
        <w:autoSpaceDN w:val="0"/>
        <w:adjustRightInd w:val="0"/>
        <w:rPr>
          <w:rFonts w:ascii="Arial Narrow" w:hAnsi="Arial Narrow" w:cs="Arial Narrow"/>
          <w:sz w:val="22"/>
          <w:szCs w:val="22"/>
        </w:rPr>
      </w:pPr>
      <w:r>
        <w:rPr>
          <w:rFonts w:ascii="Arial Narrow" w:hAnsi="Arial Narrow" w:cs="Arial Narrow"/>
          <w:sz w:val="22"/>
          <w:szCs w:val="22"/>
        </w:rPr>
        <w:t>Nel corso della gara sono ammesse fino ad un massimo di 7 sostituzioni per squadra indipendentemente dal ruolo</w:t>
      </w:r>
    </w:p>
    <w:p w14:paraId="58117812" w14:textId="77777777" w:rsidR="00C0611D" w:rsidRDefault="00C0611D" w:rsidP="00C0611D">
      <w:pPr>
        <w:pStyle w:val="LndNormale1"/>
        <w:rPr>
          <w:rFonts w:cs="Calibri"/>
          <w:b/>
          <w:szCs w:val="24"/>
          <w:u w:val="single"/>
        </w:rPr>
      </w:pPr>
      <w:r>
        <w:rPr>
          <w:rFonts w:ascii="Arial Narrow" w:hAnsi="Arial Narrow" w:cs="Arial Narrow"/>
          <w:b/>
          <w:bCs/>
          <w:sz w:val="22"/>
          <w:szCs w:val="22"/>
        </w:rPr>
        <w:t>L’inosservanza di tale norma, comporta l’applicazione delle sanzioni della gara persa.</w:t>
      </w:r>
    </w:p>
    <w:p w14:paraId="3138359D" w14:textId="77777777" w:rsidR="00C0611D" w:rsidRDefault="00C0611D" w:rsidP="00C0611D">
      <w:pPr>
        <w:pStyle w:val="LndNormale1"/>
        <w:rPr>
          <w:rFonts w:cs="Calibri"/>
          <w:b/>
          <w:szCs w:val="24"/>
          <w:u w:val="single"/>
        </w:rPr>
      </w:pPr>
    </w:p>
    <w:p w14:paraId="546D912A" w14:textId="77777777" w:rsidR="00C0611D" w:rsidRDefault="00C0611D" w:rsidP="00C0611D">
      <w:pPr>
        <w:pStyle w:val="LndNormale1"/>
        <w:rPr>
          <w:rFonts w:ascii="Arial Narrow" w:hAnsi="Arial Narrow" w:cs="Arial Narrow"/>
          <w:b/>
          <w:bCs/>
          <w:sz w:val="22"/>
          <w:szCs w:val="22"/>
        </w:rPr>
      </w:pPr>
      <w:r>
        <w:rPr>
          <w:rFonts w:ascii="Arial Narrow" w:hAnsi="Arial Narrow" w:cs="Arial Narrow"/>
          <w:b/>
          <w:bCs/>
          <w:sz w:val="22"/>
          <w:szCs w:val="22"/>
        </w:rPr>
        <w:t>DISPOSIZIONI DISCIPLINARI</w:t>
      </w:r>
    </w:p>
    <w:p w14:paraId="0A66DCE4" w14:textId="77777777" w:rsidR="00C0611D" w:rsidRPr="00557AF6" w:rsidRDefault="00C0611D" w:rsidP="00C0611D">
      <w:pPr>
        <w:pStyle w:val="LndNormale1"/>
        <w:rPr>
          <w:rFonts w:ascii="Arial Narrow" w:hAnsi="Arial Narrow" w:cs="Arial Narrow"/>
          <w:b/>
          <w:bCs/>
          <w:sz w:val="10"/>
          <w:szCs w:val="10"/>
        </w:rPr>
      </w:pPr>
    </w:p>
    <w:p w14:paraId="2734C822" w14:textId="77777777" w:rsidR="00C0611D" w:rsidRDefault="00C0611D" w:rsidP="00C0611D">
      <w:pPr>
        <w:pStyle w:val="LndNormale1"/>
        <w:rPr>
          <w:rFonts w:cs="Calibri"/>
          <w:b/>
          <w:szCs w:val="24"/>
          <w:u w:val="single"/>
        </w:rPr>
      </w:pPr>
      <w:r>
        <w:rPr>
          <w:rFonts w:ascii="Arial Narrow" w:hAnsi="Arial Narrow" w:cs="Arial Narrow"/>
          <w:b/>
          <w:bCs/>
          <w:sz w:val="22"/>
          <w:szCs w:val="22"/>
        </w:rPr>
        <w:t>1. Ufficiali di gara</w:t>
      </w:r>
    </w:p>
    <w:p w14:paraId="2EEE87C2" w14:textId="77777777" w:rsidR="00C0611D" w:rsidRDefault="00C0611D" w:rsidP="00C0611D">
      <w:pPr>
        <w:autoSpaceDE w:val="0"/>
        <w:autoSpaceDN w:val="0"/>
        <w:adjustRightInd w:val="0"/>
        <w:rPr>
          <w:rFonts w:ascii="Arial Narrow" w:hAnsi="Arial Narrow" w:cs="Arial Narrow"/>
          <w:sz w:val="22"/>
          <w:szCs w:val="22"/>
        </w:rPr>
      </w:pPr>
      <w:r>
        <w:rPr>
          <w:rFonts w:ascii="Arial Narrow" w:hAnsi="Arial Narrow" w:cs="Arial Narrow"/>
          <w:sz w:val="22"/>
          <w:szCs w:val="22"/>
        </w:rPr>
        <w:t>Le partite saranno arbitrate da Arbitri Ufficiali dell’Associazione Italiana Arbitri, appartenenti alle Sezioni territorialmente competenti.</w:t>
      </w:r>
    </w:p>
    <w:p w14:paraId="0FDAFB4A" w14:textId="77777777" w:rsidR="00C0611D" w:rsidRDefault="00C0611D" w:rsidP="00C0611D">
      <w:pPr>
        <w:autoSpaceDE w:val="0"/>
        <w:autoSpaceDN w:val="0"/>
        <w:adjustRightInd w:val="0"/>
        <w:jc w:val="left"/>
        <w:rPr>
          <w:rFonts w:ascii="Arial Narrow" w:hAnsi="Arial Narrow" w:cs="Arial Narrow"/>
          <w:sz w:val="22"/>
          <w:szCs w:val="22"/>
        </w:rPr>
      </w:pPr>
    </w:p>
    <w:p w14:paraId="5EE7093E" w14:textId="77777777" w:rsidR="00C0611D" w:rsidRPr="00557AF6" w:rsidRDefault="00C0611D" w:rsidP="00C0611D">
      <w:pPr>
        <w:autoSpaceDE w:val="0"/>
        <w:autoSpaceDN w:val="0"/>
        <w:adjustRightInd w:val="0"/>
        <w:jc w:val="left"/>
        <w:rPr>
          <w:rFonts w:ascii="Arial Narrow" w:hAnsi="Arial Narrow" w:cs="Arial Narrow"/>
          <w:sz w:val="22"/>
          <w:szCs w:val="22"/>
        </w:rPr>
      </w:pPr>
      <w:r>
        <w:rPr>
          <w:rFonts w:ascii="Arial Narrow" w:hAnsi="Arial Narrow" w:cs="Arial Narrow"/>
          <w:b/>
          <w:bCs/>
          <w:sz w:val="22"/>
          <w:szCs w:val="22"/>
        </w:rPr>
        <w:t>2. Saluti</w:t>
      </w:r>
    </w:p>
    <w:p w14:paraId="605A74AD" w14:textId="77777777" w:rsidR="00C0611D" w:rsidRPr="00557AF6" w:rsidRDefault="00C0611D" w:rsidP="00C0611D">
      <w:pPr>
        <w:autoSpaceDE w:val="0"/>
        <w:autoSpaceDN w:val="0"/>
        <w:adjustRightInd w:val="0"/>
        <w:rPr>
          <w:rFonts w:ascii="Arial Narrow" w:hAnsi="Arial Narrow" w:cs="Arial Narrow"/>
          <w:sz w:val="22"/>
          <w:szCs w:val="22"/>
        </w:rPr>
      </w:pPr>
      <w:r>
        <w:rPr>
          <w:rFonts w:ascii="Arial Narrow" w:hAnsi="Arial Narrow" w:cs="Arial Narrow"/>
          <w:sz w:val="22"/>
          <w:szCs w:val="22"/>
        </w:rPr>
        <w:t>In occasione di ogni incontro i dirigenti ed i tecnici dovranno sollecitare i partecipanti alla gara a salutarsi fra loro, sia all’inizio che alla fine di ogni confronto, utilizzando la stessa cerimonia. In entrambe le occasioni i partecipanti dovranno schierarsi a centrocampo insieme all’arbitro, salutando il pubblico e la squadra avversaria.</w:t>
      </w:r>
    </w:p>
    <w:p w14:paraId="093AF2EF" w14:textId="77777777" w:rsidR="00C0611D" w:rsidRDefault="00C0611D" w:rsidP="00C0611D">
      <w:pPr>
        <w:pStyle w:val="LndNormale1"/>
        <w:rPr>
          <w:rFonts w:cs="Calibri"/>
          <w:b/>
          <w:szCs w:val="24"/>
          <w:u w:val="single"/>
        </w:rPr>
      </w:pPr>
    </w:p>
    <w:p w14:paraId="35866562" w14:textId="77777777" w:rsidR="00C0611D" w:rsidRDefault="00C0611D" w:rsidP="00C0611D">
      <w:pPr>
        <w:pStyle w:val="LndNormale1"/>
        <w:rPr>
          <w:rFonts w:cs="Calibri"/>
          <w:b/>
          <w:szCs w:val="24"/>
          <w:u w:val="single"/>
        </w:rPr>
      </w:pPr>
      <w:r>
        <w:rPr>
          <w:rFonts w:ascii="Arial Narrow" w:hAnsi="Arial Narrow" w:cs="Arial Narrow"/>
          <w:b/>
          <w:bCs/>
          <w:sz w:val="22"/>
          <w:szCs w:val="22"/>
        </w:rPr>
        <w:t>3. Giustizia sportiva</w:t>
      </w:r>
    </w:p>
    <w:p w14:paraId="7FEC4108" w14:textId="77777777" w:rsidR="00C0611D" w:rsidRDefault="00C0611D" w:rsidP="00C0611D">
      <w:pPr>
        <w:pStyle w:val="LndNormale1"/>
        <w:rPr>
          <w:rFonts w:cs="Calibri"/>
          <w:b/>
          <w:szCs w:val="24"/>
          <w:u w:val="single"/>
        </w:rPr>
      </w:pPr>
      <w:r>
        <w:rPr>
          <w:rFonts w:ascii="Arial Narrow" w:hAnsi="Arial Narrow" w:cs="Arial Narrow"/>
          <w:sz w:val="22"/>
          <w:szCs w:val="22"/>
        </w:rPr>
        <w:t>la Giustizia Sportiva sarà demandata al Giudice Sportivo Territoriale del Comitato Regionale organizzatore.</w:t>
      </w:r>
    </w:p>
    <w:p w14:paraId="2587C758" w14:textId="77777777" w:rsidR="00C0611D" w:rsidRDefault="00C0611D" w:rsidP="00C0611D">
      <w:pPr>
        <w:pStyle w:val="LndNormale1"/>
        <w:rPr>
          <w:rFonts w:cs="Calibri"/>
          <w:b/>
          <w:szCs w:val="24"/>
          <w:u w:val="single"/>
        </w:rPr>
      </w:pPr>
    </w:p>
    <w:p w14:paraId="64F7431F" w14:textId="77777777" w:rsidR="00C0611D" w:rsidRDefault="00C0611D" w:rsidP="00C0611D">
      <w:pPr>
        <w:pStyle w:val="LndNormale1"/>
        <w:rPr>
          <w:rFonts w:ascii="Arial Narrow" w:hAnsi="Arial Narrow" w:cs="Arial Narrow"/>
          <w:b/>
          <w:bCs/>
          <w:sz w:val="22"/>
          <w:szCs w:val="22"/>
        </w:rPr>
      </w:pPr>
      <w:r>
        <w:rPr>
          <w:rFonts w:ascii="Arial Narrow" w:hAnsi="Arial Narrow" w:cs="Arial Narrow"/>
          <w:b/>
          <w:bCs/>
          <w:sz w:val="22"/>
          <w:szCs w:val="22"/>
        </w:rPr>
        <w:t>RICHIAMI REGOLAMENTARI</w:t>
      </w:r>
    </w:p>
    <w:p w14:paraId="7CD6F963" w14:textId="77777777" w:rsidR="00C0611D" w:rsidRPr="003B15E7" w:rsidRDefault="00C0611D" w:rsidP="00C0611D">
      <w:pPr>
        <w:pStyle w:val="LndNormale1"/>
        <w:rPr>
          <w:rFonts w:ascii="Arial Narrow" w:hAnsi="Arial Narrow" w:cs="Arial Narrow"/>
          <w:b/>
          <w:bCs/>
          <w:sz w:val="10"/>
          <w:szCs w:val="10"/>
        </w:rPr>
      </w:pPr>
    </w:p>
    <w:p w14:paraId="5E2A5834" w14:textId="77777777" w:rsidR="00C0611D" w:rsidRPr="003B15E7" w:rsidRDefault="00C0611D" w:rsidP="00C0611D">
      <w:pPr>
        <w:autoSpaceDE w:val="0"/>
        <w:autoSpaceDN w:val="0"/>
        <w:adjustRightInd w:val="0"/>
        <w:rPr>
          <w:rFonts w:ascii="Arial Narrow" w:hAnsi="Arial Narrow" w:cs="Arial Narrow"/>
          <w:sz w:val="22"/>
          <w:szCs w:val="22"/>
        </w:rPr>
      </w:pPr>
      <w:r>
        <w:rPr>
          <w:rFonts w:ascii="Arial Narrow" w:hAnsi="Arial Narrow" w:cs="Arial Narrow"/>
          <w:sz w:val="22"/>
          <w:szCs w:val="22"/>
        </w:rPr>
        <w:t>Per tutto quanto non previsto dal presente Regolamento, si fa espresso richiamo al Regolamento del Giuoco del Calcio, al Comunicato Ufficiale n°1 del Settore Giovanile e Scolastico del 01/07/2022 e a sue successive Circolari esplicative inerenti le modalità di svolgimento delle gare nelle categorie giovanili e nel Campionato U17 Femminile.</w:t>
      </w:r>
    </w:p>
    <w:p w14:paraId="38461B84" w14:textId="4135B78A" w:rsidR="001D09F6" w:rsidRDefault="001D09F6"/>
    <w:p w14:paraId="44CEF2A3" w14:textId="297DEB32" w:rsidR="009F6652" w:rsidRDefault="009F6652"/>
    <w:p w14:paraId="5EB49DE7" w14:textId="521A7E5C" w:rsidR="009F6652" w:rsidRDefault="009F6652"/>
    <w:p w14:paraId="5D6E6849" w14:textId="6FA3A2B1" w:rsidR="009F6652" w:rsidRDefault="009F6652"/>
    <w:p w14:paraId="73A548E6" w14:textId="77777777" w:rsidR="009F6652" w:rsidRDefault="009F6652"/>
    <w:tbl>
      <w:tblPr>
        <w:tblW w:w="9709" w:type="dxa"/>
        <w:tblLayout w:type="fixed"/>
        <w:tblCellMar>
          <w:left w:w="70" w:type="dxa"/>
          <w:right w:w="70" w:type="dxa"/>
        </w:tblCellMar>
        <w:tblLook w:val="0000" w:firstRow="0" w:lastRow="0" w:firstColumn="0" w:lastColumn="0" w:noHBand="0" w:noVBand="0"/>
      </w:tblPr>
      <w:tblGrid>
        <w:gridCol w:w="4890"/>
        <w:gridCol w:w="4819"/>
      </w:tblGrid>
      <w:tr w:rsidR="009F6652" w:rsidRPr="00CE578A" w14:paraId="52FD0198" w14:textId="77777777" w:rsidTr="00DD1B70">
        <w:tc>
          <w:tcPr>
            <w:tcW w:w="4890" w:type="dxa"/>
          </w:tcPr>
          <w:p w14:paraId="38C98643" w14:textId="77777777" w:rsidR="009F6652" w:rsidRPr="00CE578A" w:rsidRDefault="009F6652" w:rsidP="00DD1B70">
            <w:pPr>
              <w:pStyle w:val="LndNormale1"/>
              <w:jc w:val="center"/>
              <w:rPr>
                <w:rFonts w:cs="Calibri"/>
                <w:b/>
                <w:szCs w:val="24"/>
              </w:rPr>
            </w:pPr>
            <w:r w:rsidRPr="00CE578A">
              <w:rPr>
                <w:rFonts w:cs="Calibri"/>
                <w:b/>
                <w:szCs w:val="24"/>
              </w:rPr>
              <w:t>Il Segretario</w:t>
            </w:r>
          </w:p>
          <w:p w14:paraId="2630848B" w14:textId="77777777" w:rsidR="009F6652" w:rsidRPr="00CE578A" w:rsidRDefault="009F6652" w:rsidP="00DD1B70">
            <w:pPr>
              <w:pStyle w:val="LndNormale1"/>
              <w:jc w:val="center"/>
              <w:rPr>
                <w:rFonts w:cs="Calibri"/>
                <w:b/>
                <w:szCs w:val="24"/>
              </w:rPr>
            </w:pPr>
            <w:r w:rsidRPr="00CE578A">
              <w:rPr>
                <w:rFonts w:cs="Calibri"/>
                <w:b/>
                <w:szCs w:val="24"/>
              </w:rPr>
              <w:t>Giuseppe Aversano</w:t>
            </w:r>
          </w:p>
        </w:tc>
        <w:tc>
          <w:tcPr>
            <w:tcW w:w="4819" w:type="dxa"/>
          </w:tcPr>
          <w:p w14:paraId="2E5997EC" w14:textId="77777777" w:rsidR="009F6652" w:rsidRPr="00CE578A" w:rsidRDefault="009F6652" w:rsidP="00DD1B70">
            <w:pPr>
              <w:pStyle w:val="LndNormale1"/>
              <w:jc w:val="center"/>
              <w:rPr>
                <w:rFonts w:cs="Calibri"/>
                <w:b/>
                <w:szCs w:val="24"/>
              </w:rPr>
            </w:pPr>
            <w:r w:rsidRPr="00CE578A">
              <w:rPr>
                <w:rFonts w:cs="Calibri"/>
                <w:b/>
                <w:szCs w:val="24"/>
              </w:rPr>
              <w:t>Il Presidente</w:t>
            </w:r>
          </w:p>
          <w:p w14:paraId="3E2600E4" w14:textId="77777777" w:rsidR="009F6652" w:rsidRPr="00CE578A" w:rsidRDefault="009F6652" w:rsidP="00DD1B70">
            <w:pPr>
              <w:pStyle w:val="LndNormale1"/>
              <w:jc w:val="center"/>
              <w:rPr>
                <w:rFonts w:cs="Calibri"/>
                <w:b/>
                <w:szCs w:val="24"/>
              </w:rPr>
            </w:pPr>
            <w:r w:rsidRPr="00CE578A">
              <w:rPr>
                <w:rFonts w:cs="Calibri"/>
                <w:b/>
                <w:szCs w:val="24"/>
              </w:rPr>
              <w:t>Carmine Zigarelli</w:t>
            </w:r>
          </w:p>
        </w:tc>
      </w:tr>
    </w:tbl>
    <w:p w14:paraId="5E608B36" w14:textId="77777777" w:rsidR="009F6652" w:rsidRDefault="009F6652"/>
    <w:sectPr w:rsidR="009F6652" w:rsidSect="003C6EAB">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gc_-_azzurri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980"/>
    <w:multiLevelType w:val="hybridMultilevel"/>
    <w:tmpl w:val="4ADAFF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823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1D"/>
    <w:rsid w:val="001D09F6"/>
    <w:rsid w:val="003C6EAB"/>
    <w:rsid w:val="00763645"/>
    <w:rsid w:val="009F6652"/>
    <w:rsid w:val="00C06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C918"/>
  <w15:chartTrackingRefBased/>
  <w15:docId w15:val="{F7EEE071-0E03-4726-9496-881AB621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11D"/>
    <w:pPr>
      <w:spacing w:after="0" w:line="240" w:lineRule="auto"/>
      <w:jc w:val="both"/>
    </w:pPr>
    <w:rPr>
      <w:rFonts w:ascii="Calibri" w:eastAsia="Times New Roman" w:hAnsi="Calibri" w:cs="Times New Roman"/>
      <w:sz w:val="24"/>
      <w:szCs w:val="20"/>
      <w:lang w:eastAsia="it-IT"/>
    </w:rPr>
  </w:style>
  <w:style w:type="paragraph" w:styleId="Titolo1">
    <w:name w:val="heading 1"/>
    <w:basedOn w:val="Normale"/>
    <w:next w:val="Normale"/>
    <w:link w:val="Titolo1Carattere"/>
    <w:autoRedefine/>
    <w:qFormat/>
    <w:rsid w:val="00C0611D"/>
    <w:pPr>
      <w:keepNext/>
      <w:shd w:val="clear" w:color="auto" w:fill="FFFFFF"/>
      <w:jc w:val="center"/>
      <w:outlineLvl w:val="0"/>
    </w:pPr>
    <w:rPr>
      <w:rFonts w:ascii="figc_-_azzurriregular" w:eastAsia="Calibri" w:hAnsi="figc_-_azzurriregular" w:cs="Calibri"/>
      <w:b/>
      <w:bCs/>
      <w:i/>
      <w:iCs/>
      <w:smallCaps/>
      <w:color w:val="08305E"/>
      <w:kern w:val="32"/>
      <w:sz w:val="32"/>
      <w:szCs w:val="32"/>
      <w:lang w:eastAsia="en-US"/>
    </w:rPr>
  </w:style>
  <w:style w:type="paragraph" w:styleId="Titolo2">
    <w:name w:val="heading 2"/>
    <w:basedOn w:val="Normale"/>
    <w:next w:val="Normale"/>
    <w:link w:val="Titolo2Carattere"/>
    <w:autoRedefine/>
    <w:qFormat/>
    <w:rsid w:val="00C0611D"/>
    <w:pPr>
      <w:keepNext/>
      <w:jc w:val="center"/>
      <w:outlineLvl w:val="1"/>
    </w:pPr>
    <w:rPr>
      <w:rFonts w:ascii="Times New Roman" w:hAnsi="Times New Roman"/>
      <w:b/>
      <w:bCs/>
      <w:i/>
      <w:iCs/>
      <w:color w:val="444C4F"/>
      <w:sz w:val="32"/>
      <w:szCs w:val="32"/>
      <w:shd w:val="clear" w:color="auto" w:fill="FFFF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611D"/>
    <w:rPr>
      <w:rFonts w:ascii="figc_-_azzurriregular" w:eastAsia="Calibri" w:hAnsi="figc_-_azzurriregular" w:cs="Calibri"/>
      <w:b/>
      <w:bCs/>
      <w:i/>
      <w:iCs/>
      <w:smallCaps/>
      <w:color w:val="08305E"/>
      <w:kern w:val="32"/>
      <w:sz w:val="32"/>
      <w:szCs w:val="32"/>
      <w:shd w:val="clear" w:color="auto" w:fill="FFFFFF"/>
    </w:rPr>
  </w:style>
  <w:style w:type="character" w:customStyle="1" w:styleId="Titolo2Carattere">
    <w:name w:val="Titolo 2 Carattere"/>
    <w:basedOn w:val="Carpredefinitoparagrafo"/>
    <w:link w:val="Titolo2"/>
    <w:rsid w:val="00C0611D"/>
    <w:rPr>
      <w:rFonts w:ascii="Times New Roman" w:eastAsia="Times New Roman" w:hAnsi="Times New Roman" w:cs="Times New Roman"/>
      <w:b/>
      <w:bCs/>
      <w:i/>
      <w:iCs/>
      <w:color w:val="444C4F"/>
      <w:sz w:val="32"/>
      <w:szCs w:val="32"/>
      <w:lang w:eastAsia="it-IT"/>
    </w:rPr>
  </w:style>
  <w:style w:type="paragraph" w:customStyle="1" w:styleId="LndNormale1">
    <w:name w:val="LndNormale1"/>
    <w:basedOn w:val="Normale"/>
    <w:link w:val="LndNormale1Carattere"/>
    <w:rsid w:val="00C0611D"/>
    <w:rPr>
      <w:noProof/>
    </w:rPr>
  </w:style>
  <w:style w:type="character" w:customStyle="1" w:styleId="LndNormale1Carattere">
    <w:name w:val="LndNormale1 Carattere"/>
    <w:link w:val="LndNormale1"/>
    <w:rsid w:val="00C0611D"/>
    <w:rPr>
      <w:rFonts w:ascii="Calibri" w:eastAsia="Times New Roman" w:hAnsi="Calibri" w:cs="Times New Roman"/>
      <w:noProo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FIGC Napoli FIGC Napoli</dc:creator>
  <cp:keywords/>
  <dc:description/>
  <cp:lastModifiedBy>FIGC Napoli FIGC Napoli</cp:lastModifiedBy>
  <cp:revision>3</cp:revision>
  <dcterms:created xsi:type="dcterms:W3CDTF">2023-02-23T11:50:00Z</dcterms:created>
  <dcterms:modified xsi:type="dcterms:W3CDTF">2023-02-23T11:52:00Z</dcterms:modified>
</cp:coreProperties>
</file>